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5A" w:rsidRDefault="008F455A" w:rsidP="00782175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 xml:space="preserve">Kite Runner </w:t>
      </w:r>
      <w:r>
        <w:rPr>
          <w:sz w:val="20"/>
          <w:szCs w:val="20"/>
        </w:rPr>
        <w:t>Essay Rubric</w:t>
      </w:r>
    </w:p>
    <w:p w:rsidR="008F455A" w:rsidRDefault="008F455A" w:rsidP="008F455A">
      <w:pPr>
        <w:rPr>
          <w:sz w:val="20"/>
          <w:szCs w:val="20"/>
        </w:rPr>
      </w:pPr>
      <w:r>
        <w:rPr>
          <w:sz w:val="20"/>
          <w:szCs w:val="20"/>
        </w:rPr>
        <w:t>Name: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Due Date: 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7"/>
        <w:gridCol w:w="881"/>
        <w:gridCol w:w="2424"/>
        <w:gridCol w:w="2424"/>
        <w:gridCol w:w="2424"/>
        <w:gridCol w:w="2424"/>
        <w:gridCol w:w="2424"/>
      </w:tblGrid>
      <w:tr w:rsidR="008F455A" w:rsidTr="00782175">
        <w:tc>
          <w:tcPr>
            <w:tcW w:w="1687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Criteria</w:t>
            </w:r>
          </w:p>
        </w:tc>
        <w:tc>
          <w:tcPr>
            <w:tcW w:w="881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Weight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 4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3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2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Level 1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Below L.1 </w:t>
            </w:r>
          </w:p>
        </w:tc>
      </w:tr>
      <w:tr w:rsidR="008F455A" w:rsidTr="00782175">
        <w:trPr>
          <w:trHeight w:val="2861"/>
        </w:trPr>
        <w:tc>
          <w:tcPr>
            <w:tcW w:w="1687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Knowledge and understanding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and Organization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(Intro and conclusion)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Structure and Organization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(Body Paragraphs)</w:t>
            </w:r>
          </w:p>
        </w:tc>
        <w:tc>
          <w:tcPr>
            <w:tcW w:w="881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/5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/2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grabs attention and anticipates an insightful thesis.  Reworded thesis, summary, and insight compose conclusion. 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sentences thoroughly set the focus for body paragraphs.  Concluding sentences thoroughly connect ideas to thesis.  Well organized arguments overall.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grabs attention and anticipates a fresh thesis.  Reworded thesis and summary compose conclusion. 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Topic sentences set the focus for body paragraphs.  Concluding sentences connect ideas to thesis.  Arguments organized. 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somewhat grabs attention and leads into thesis Reworded thesis and summary compose conclusion. 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sentences somewhat set the focus for body paragraphs.  Concluding sentences somewhat connect ideas to thesis.  Somewhat organized arguments.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Intro is </w:t>
            </w:r>
            <w:proofErr w:type="spellStart"/>
            <w:r>
              <w:rPr>
                <w:sz w:val="18"/>
                <w:szCs w:val="18"/>
              </w:rPr>
              <w:t>to</w:t>
            </w:r>
            <w:proofErr w:type="spellEnd"/>
            <w:r>
              <w:rPr>
                <w:sz w:val="18"/>
                <w:szCs w:val="18"/>
              </w:rPr>
              <w:t xml:space="preserve"> simplistic to lead into a thesis.  Summary composes conclusion. 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sentences are limited in setting the focus for body paragraphs.  Concluding sentences loosely connect ideas to thesis.  Arguments show limited organization.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trace of an introduction.  Conclusion does not include a thesis, summary or insight.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Topic sentences do not set the focus for body paragraphs.  Concluding sentences do not connect ideas to thesis.  Arguments are poorly organized.</w:t>
            </w:r>
          </w:p>
        </w:tc>
      </w:tr>
      <w:tr w:rsidR="008F455A" w:rsidTr="00782175">
        <w:trPr>
          <w:trHeight w:val="3914"/>
        </w:trPr>
        <w:tc>
          <w:tcPr>
            <w:tcW w:w="1687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Thinking and Inquiry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Thesis composition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arguments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</w:tc>
        <w:tc>
          <w:tcPr>
            <w:tcW w:w="881" w:type="dxa"/>
          </w:tcPr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</w:t>
            </w: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/3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u w:val="single"/>
              </w:rPr>
              <w:t xml:space="preserve">       /5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/5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Thesis is insightful and creative; it forcefully focuses the essay.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excellently chosen, taken from a variety of acts, and are superbly integrated into the grammar of the essay. </w:t>
            </w:r>
            <w:r w:rsidR="00782175">
              <w:rPr>
                <w:sz w:val="18"/>
                <w:szCs w:val="18"/>
              </w:rPr>
              <w:t>References fully explained and closely support ideas and insights.</w:t>
            </w:r>
            <w:r w:rsidR="000F1D98">
              <w:rPr>
                <w:sz w:val="18"/>
                <w:szCs w:val="18"/>
              </w:rPr>
              <w:t xml:space="preserve"> Trans. 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words</w:t>
            </w:r>
            <w:proofErr w:type="gramEnd"/>
            <w:r>
              <w:rPr>
                <w:sz w:val="18"/>
                <w:szCs w:val="18"/>
              </w:rPr>
              <w:t xml:space="preserve"> help the flow of ideas.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0F1D98" w:rsidRDefault="000F1D98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arguments with a high degree of logic, objectivity, coherence, consistency, and sophistication.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Thesis is clear and fresh, and focuses the essay.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Quotations are well chosen, taken from three acts, and are well integrated into the grammar of the essay.</w:t>
            </w:r>
            <w:r w:rsidR="00782175">
              <w:rPr>
                <w:sz w:val="18"/>
                <w:szCs w:val="18"/>
              </w:rPr>
              <w:t xml:space="preserve"> References are</w:t>
            </w:r>
            <w:r w:rsidR="00782175">
              <w:rPr>
                <w:sz w:val="18"/>
                <w:szCs w:val="18"/>
              </w:rPr>
              <w:t xml:space="preserve"> explained and support ideas and insights.</w:t>
            </w:r>
            <w:r>
              <w:rPr>
                <w:sz w:val="18"/>
                <w:szCs w:val="18"/>
              </w:rPr>
              <w:t xml:space="preserve">  Transitional words help the flow of ideas.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arguments with logic, objectivity, coherence, consistency, and sophistication.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Thesis is clear, but conventional; it somewhat focuses the essay.  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somewhat well chosen, taken from one or two acts, and are somewhat integrated into the grammar of the essay. </w:t>
            </w:r>
            <w:r w:rsidR="000F1D98">
              <w:rPr>
                <w:sz w:val="18"/>
                <w:szCs w:val="18"/>
              </w:rPr>
              <w:t xml:space="preserve">References </w:t>
            </w:r>
            <w:r w:rsidR="000F1D98">
              <w:rPr>
                <w:sz w:val="18"/>
                <w:szCs w:val="18"/>
              </w:rPr>
              <w:t xml:space="preserve">somewhat explained and </w:t>
            </w:r>
            <w:r w:rsidR="000F1D98">
              <w:rPr>
                <w:sz w:val="18"/>
                <w:szCs w:val="18"/>
              </w:rPr>
              <w:t>support ideas and insights.</w:t>
            </w:r>
            <w:r>
              <w:rPr>
                <w:sz w:val="18"/>
                <w:szCs w:val="18"/>
              </w:rPr>
              <w:t xml:space="preserve"> Transitional words somewhat help the flow of ideas.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arguments with some logic, objectivity, coherence, consistency, and sophistication.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Thesis is unclear and simplistic; as well it is limited in focusing the essay.  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Quotations are poorly chosen, taken from only one act and are poorly integrated into the grammar of the essay.  </w:t>
            </w:r>
            <w:r w:rsidR="000F1D98">
              <w:rPr>
                <w:sz w:val="18"/>
                <w:szCs w:val="18"/>
              </w:rPr>
              <w:t>References do not explain or</w:t>
            </w:r>
            <w:r w:rsidR="000F1D98">
              <w:rPr>
                <w:sz w:val="18"/>
                <w:szCs w:val="18"/>
              </w:rPr>
              <w:t xml:space="preserve"> support ideas and insights.</w:t>
            </w:r>
            <w:r w:rsidR="000F1D9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More transitional words are needed to help the flow of ideas.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bookmarkStart w:id="0" w:name="_GoBack"/>
            <w:bookmarkEnd w:id="0"/>
            <w:r>
              <w:rPr>
                <w:sz w:val="18"/>
                <w:szCs w:val="18"/>
              </w:rPr>
              <w:t>Develops arguments with limited objectivity, logic, coherence, consistency, and sophistication.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trace of a thesis or unifying idea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quotations used.  Transitional words do not help the flow of ideas.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782175" w:rsidRDefault="00782175" w:rsidP="0092135D">
            <w:pPr>
              <w:rPr>
                <w:sz w:val="18"/>
                <w:szCs w:val="18"/>
              </w:rPr>
            </w:pPr>
          </w:p>
          <w:p w:rsidR="00782175" w:rsidRDefault="00782175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Develops arguments with minimal logic, objectivity, coherence, consistency, and sophistication.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</w:p>
        </w:tc>
      </w:tr>
      <w:tr w:rsidR="008F455A" w:rsidTr="00782175">
        <w:trPr>
          <w:trHeight w:val="701"/>
        </w:trPr>
        <w:tc>
          <w:tcPr>
            <w:tcW w:w="1687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Communication</w:t>
            </w:r>
          </w:p>
          <w:p w:rsidR="008F455A" w:rsidRDefault="008F455A" w:rsidP="0092135D">
            <w:pPr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Clarity</w:t>
            </w:r>
          </w:p>
        </w:tc>
        <w:tc>
          <w:tcPr>
            <w:tcW w:w="881" w:type="dxa"/>
          </w:tcPr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/5</w:t>
            </w: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uses style and diction with a high degree of effectiveness; meaning is extremely clear and concise.</w:t>
            </w:r>
          </w:p>
          <w:p w:rsidR="00782175" w:rsidRDefault="00782175" w:rsidP="0092135D">
            <w:pPr>
              <w:rPr>
                <w:sz w:val="18"/>
                <w:szCs w:val="18"/>
              </w:rPr>
            </w:pP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uses style and diction with considerable effectiveness; meaning is clear and concise.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uses style and diction with some effectiveness; meaning is somewhat clear and concise.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Essay uses style and diction with limited effectiveness; meaning is often unclear. 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Essay uses style and diction with minimal effectiveness; meaning is unclear.</w:t>
            </w:r>
          </w:p>
        </w:tc>
      </w:tr>
      <w:tr w:rsidR="008F455A" w:rsidTr="00782175">
        <w:trPr>
          <w:trHeight w:val="719"/>
        </w:trPr>
        <w:tc>
          <w:tcPr>
            <w:tcW w:w="1687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Application</w:t>
            </w:r>
          </w:p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Language conventions</w:t>
            </w:r>
          </w:p>
        </w:tc>
        <w:tc>
          <w:tcPr>
            <w:tcW w:w="881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</w:p>
          <w:p w:rsidR="008F455A" w:rsidRDefault="008F455A" w:rsidP="0092135D">
            <w:pPr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       /5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grammar, spelling, and punctuation with a high degree of accuracy and consistency.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grammar, spelling, and punctuation with considerable accuracy and consistency.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grammar, spelling, and punctuation with some accuracy and consistency.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grammar, spelling, and punctuation with limited accuracy and consistency.</w:t>
            </w:r>
          </w:p>
        </w:tc>
        <w:tc>
          <w:tcPr>
            <w:tcW w:w="2424" w:type="dxa"/>
          </w:tcPr>
          <w:p w:rsidR="008F455A" w:rsidRDefault="008F455A" w:rsidP="009213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Uses grammar, spelling and punctuation with minimal accuracy and consistency.</w:t>
            </w:r>
          </w:p>
        </w:tc>
      </w:tr>
    </w:tbl>
    <w:p w:rsidR="008F455A" w:rsidRDefault="008F455A" w:rsidP="008F455A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046"/>
        <w:gridCol w:w="2047"/>
        <w:gridCol w:w="2047"/>
        <w:gridCol w:w="2047"/>
        <w:gridCol w:w="2047"/>
        <w:gridCol w:w="2047"/>
        <w:gridCol w:w="2407"/>
      </w:tblGrid>
      <w:tr w:rsidR="00782175" w:rsidTr="00782175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Deductions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Student loses 0 marks for a flawlessly formatted essay and excellent use of all class work periods.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Student loses 2 marks for an excellently formatted essay and/or the misuse of 1 class work period.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Student loses 4 marks for a well formatted essay and/or the misuse of 2 class work periods.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Student loses 6 marks for a decently formatted essay and/or the misuse of 3 class work periods.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Student loses 8 marks for a poorly formatted essay and/or the misuse of 4 class work periods.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175" w:rsidRDefault="00782175" w:rsidP="007D2526">
            <w:pPr>
              <w:rPr>
                <w:sz w:val="18"/>
              </w:rPr>
            </w:pPr>
            <w:r>
              <w:rPr>
                <w:sz w:val="18"/>
              </w:rPr>
              <w:t>Student loses 10 marks for an essay that has no MLA formatting and/or the misuse of 5 class work periods.</w:t>
            </w:r>
          </w:p>
        </w:tc>
      </w:tr>
    </w:tbl>
    <w:p w:rsidR="00782175" w:rsidRPr="00782175" w:rsidRDefault="00782175">
      <w:pPr>
        <w:rPr>
          <w:sz w:val="18"/>
          <w:szCs w:val="18"/>
        </w:rPr>
      </w:pPr>
    </w:p>
    <w:p w:rsidR="00975BC5" w:rsidRPr="00782175" w:rsidRDefault="008F455A">
      <w:r w:rsidRPr="00782175">
        <w:t>Total                        /30</w:t>
      </w:r>
    </w:p>
    <w:sectPr w:rsidR="00975BC5" w:rsidRPr="00782175" w:rsidSect="00782175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5A"/>
    <w:rsid w:val="000F1D98"/>
    <w:rsid w:val="00782175"/>
    <w:rsid w:val="008F455A"/>
    <w:rsid w:val="0097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5025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Ahumada, Mark</dc:creator>
  <cp:lastModifiedBy>Ahumada, Mark</cp:lastModifiedBy>
  <cp:revision>2</cp:revision>
  <dcterms:created xsi:type="dcterms:W3CDTF">2016-03-07T23:10:00Z</dcterms:created>
  <dcterms:modified xsi:type="dcterms:W3CDTF">2016-03-09T19:02:00Z</dcterms:modified>
</cp:coreProperties>
</file>